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深圳市儿童医院设备采购需求参数表</w:t>
      </w:r>
    </w:p>
    <w:tbl>
      <w:tblPr>
        <w:tblStyle w:val="8"/>
        <w:tblW w:w="96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1"/>
        <w:gridCol w:w="1294"/>
        <w:gridCol w:w="7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0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序号</w:t>
            </w:r>
          </w:p>
        </w:tc>
        <w:tc>
          <w:tcPr>
            <w:tcW w:w="12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73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招标事项及要求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1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9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  <w:lang w:val="en-US" w:eastAsia="zh-CN"/>
              </w:rPr>
              <w:t>持</w:t>
            </w: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续性血液净化</w:t>
            </w: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  <w:lang w:val="en-US" w:eastAsia="zh-CN"/>
              </w:rPr>
              <w:t>装置</w:t>
            </w:r>
          </w:p>
        </w:tc>
        <w:tc>
          <w:tcPr>
            <w:tcW w:w="73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1. 原装进口全功能血液净化设备,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8英寸彩色触摸显示器。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9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3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2. 适用于新生儿，儿童，成人使用。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9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3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3. 血液泵：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9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3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3.1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血液泵类型：4转子泵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9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3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3.2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流量设定范围：1—250ml/min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9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3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▲3.3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精度：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5%以内(请提供产品说明书或者技术白皮书作为依据）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9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3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4.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滤过液泵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9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3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4.1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滤过液泵类型: 4 转子泵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9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3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4.2 流量设定范围 10～6000mL/h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9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3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▲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4.3 精度 ±5%以内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(请提供产品说明书或者技术白皮书作为依据）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00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9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3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▲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4.4 精度±1%以内 (在 2000mL/h 流量进行计量控制时)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(请提供产品说明书或者技术白皮书作为依据）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9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3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5.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 置换液泵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9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73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5.1置换液泵类型: 4 转子泵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9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73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5.2流量设定范围 10～3000mL/h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9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3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▲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5.3 精度 ±5%以内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(请提供产品说明书或者技术白皮书作为依据）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9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▲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5.4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精度±1%以内（在 2000mL/h 流量进行计量控制时）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(请提供产品说明书或者技术白皮书作为依据）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9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6.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透析液泵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73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6.1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透析液泵类型: 4 转子泵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73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6.2 流量设定范围 10～4000 mL/h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▲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6.3 精度 ±5%以内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▲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6.4 精度±1%以内（在 2000mL/h 流量进行计量控制时）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▲7.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计量方式： 容量计量（非重量计量）。利用专用计量容器的容积计量方式（管路随带一次性计量容器）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(请提供产品说明书或者技术白皮书作为依据）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▲8. 新生儿一次性使用体外循环血路预冲量≤40ml。(请提供产品说明书或者技术白皮书作为依据）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▲9.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分体式一次性使用体外循环血路，能够与ECMO做串联治疗。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压力监测要求：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动脉压  -400mmHg～+400 mmHg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静脉压  -400mmHg～+400 mmHg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 xml:space="preserve"> 滤过压/血浆压  -400mmHg～+400 mmHg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血浆入口压  -400mmHg～+400 mmHg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TMP（跨膜压） -400mmHg～+400 mmHg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采血压（负压） -250mmHg～0 mmHg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5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11. 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具有气泡监测器、置换液和透析液液空监测器、漏血监测器。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59" w:type="dxa"/>
            <w:tcBorders>
              <w:tl2br w:val="nil"/>
              <w:tr2bl w:val="nil"/>
            </w:tcBorders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12. 具有动脉压、静脉压、跨膜压（TMP）、滤过压（血浆压）、血浆入口压、采血压（负压）监护，可调节的高低限报警，超限时声光报警，同时切断血泵，有声音及图像报警方式，报警时机器提供解决方案。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5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治疗模式：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单重血浆置换(PE)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▲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双重血浆置换(DFPP)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▲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血浆吸附(PA)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连续性静脉-静脉血液透析(CVVHD)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连续性静脉-静脉血液滤过(CVVHF)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连续性静脉-静脉血液透析滤过 (CVVHDF)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(前稀释、后稀释)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缓慢持续超滤(SCUF)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血浆透析滤过(PDF)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血液灌流（HP）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35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设备配备肝素泵，用于抗凝治疗。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35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配置清单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35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15.1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设备主机1套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35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15.2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输液支架2个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35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15.3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二级膜支架1个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35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15.4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二级膜夹子1个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35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15.5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软件1套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35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15.6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加热器2个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35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15.7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挂钩2个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35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15.8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包装底台座1个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35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15.9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说明书，保修卡1套</w:t>
            </w:r>
          </w:p>
        </w:tc>
      </w:tr>
    </w:tbl>
    <w:p>
      <w:pPr>
        <w:jc w:val="center"/>
        <w:rPr>
          <w:rFonts w:ascii="宋体" w:hAnsi="宋体" w:cs="宋体"/>
          <w:sz w:val="24"/>
          <w:szCs w:val="24"/>
        </w:rPr>
      </w:pPr>
    </w:p>
    <w:p>
      <w:pPr>
        <w:pStyle w:val="3"/>
        <w:bidi w:val="0"/>
        <w:jc w:val="center"/>
      </w:pPr>
      <w:r>
        <w:rPr>
          <w:rFonts w:hint="eastAsia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</w:rPr>
        <w:t>开放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lang w:eastAsia="zh-CN"/>
        </w:rPr>
        <w:t>☑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</w:rPr>
        <w:t xml:space="preserve">   专用☑   无□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一次性使用体外循环血路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套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1500元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2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持续性血液滤过器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支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1800元</w:t>
            </w:r>
          </w:p>
        </w:tc>
      </w:tr>
    </w:tbl>
    <w:p>
      <w:pPr>
        <w:jc w:val="left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10138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预算单价</w:t>
            </w:r>
            <w:r>
              <w:rPr>
                <w:rFonts w:hint="eastAsia" w:ascii="宋体" w:hAnsi="宋体" w:cs="宋体"/>
                <w:b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宋体" w:hAnsi="宋体" w:cs="宋体"/>
                <w:b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/</w:t>
            </w:r>
          </w:p>
        </w:tc>
      </w:tr>
    </w:tbl>
    <w:p>
      <w:pPr>
        <w:jc w:val="center"/>
        <w:rPr>
          <w:rFonts w:ascii="宋体" w:hAnsi="宋体" w:cs="宋体"/>
          <w:color w:val="3F3F3F"/>
          <w:kern w:val="0"/>
          <w:sz w:val="24"/>
          <w:szCs w:val="24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4D1539"/>
    <w:multiLevelType w:val="singleLevel"/>
    <w:tmpl w:val="0B4D1539"/>
    <w:lvl w:ilvl="0" w:tentative="0">
      <w:start w:val="10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27C6671"/>
    <w:multiLevelType w:val="singleLevel"/>
    <w:tmpl w:val="327C6671"/>
    <w:lvl w:ilvl="0" w:tentative="0">
      <w:start w:val="13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90E69"/>
    <w:rsid w:val="000B3A24"/>
    <w:rsid w:val="000E0A0A"/>
    <w:rsid w:val="00100D1E"/>
    <w:rsid w:val="0012370B"/>
    <w:rsid w:val="00153A42"/>
    <w:rsid w:val="0015678E"/>
    <w:rsid w:val="00180716"/>
    <w:rsid w:val="0018661F"/>
    <w:rsid w:val="00187C26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04524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8607386"/>
    <w:rsid w:val="0F7D25CB"/>
    <w:rsid w:val="0FD541B5"/>
    <w:rsid w:val="14097690"/>
    <w:rsid w:val="144E373F"/>
    <w:rsid w:val="1D0801C9"/>
    <w:rsid w:val="20527BD7"/>
    <w:rsid w:val="258F4A39"/>
    <w:rsid w:val="26971D6D"/>
    <w:rsid w:val="2A1B19E9"/>
    <w:rsid w:val="2AD31059"/>
    <w:rsid w:val="3ECE3CFC"/>
    <w:rsid w:val="41C93510"/>
    <w:rsid w:val="47C067DC"/>
    <w:rsid w:val="4AB81C22"/>
    <w:rsid w:val="4E125FF9"/>
    <w:rsid w:val="65592F35"/>
    <w:rsid w:val="6B99345E"/>
    <w:rsid w:val="70D171F6"/>
    <w:rsid w:val="72435ED2"/>
    <w:rsid w:val="7420471D"/>
    <w:rsid w:val="7BB659E9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autoRedefine/>
    <w:unhideWhenUsed/>
    <w:qFormat/>
    <w:uiPriority w:val="99"/>
    <w:pPr>
      <w:jc w:val="left"/>
    </w:pPr>
  </w:style>
  <w:style w:type="paragraph" w:styleId="5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2">
    <w:name w:val="標題 1 字元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3">
    <w:name w:val="註解文字 字元"/>
    <w:link w:val="4"/>
    <w:autoRedefine/>
    <w:semiHidden/>
    <w:qFormat/>
    <w:uiPriority w:val="99"/>
    <w:rPr>
      <w:kern w:val="2"/>
      <w:sz w:val="21"/>
      <w:szCs w:val="22"/>
    </w:rPr>
  </w:style>
  <w:style w:type="character" w:customStyle="1" w:styleId="14">
    <w:name w:val="註解方塊文字 字元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頁尾 字元"/>
    <w:link w:val="6"/>
    <w:autoRedefine/>
    <w:qFormat/>
    <w:uiPriority w:val="99"/>
    <w:rPr>
      <w:sz w:val="18"/>
      <w:szCs w:val="18"/>
    </w:rPr>
  </w:style>
  <w:style w:type="character" w:customStyle="1" w:styleId="16">
    <w:name w:val="頁首 字元"/>
    <w:link w:val="7"/>
    <w:autoRedefine/>
    <w:qFormat/>
    <w:uiPriority w:val="99"/>
    <w:rPr>
      <w:sz w:val="18"/>
      <w:szCs w:val="18"/>
    </w:rPr>
  </w:style>
  <w:style w:type="paragraph" w:styleId="17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403</Words>
  <Characters>2301</Characters>
  <Lines>19</Lines>
  <Paragraphs>5</Paragraphs>
  <TotalTime>1</TotalTime>
  <ScaleCrop>false</ScaleCrop>
  <LinksUpToDate>false</LinksUpToDate>
  <CharactersWithSpaces>2699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2024-04-02T01:14:12Z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